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shd w:val="clear" w:color="auto" w:fill="D9D9D9" w:themeFill="background1" w:themeFillShade="D9"/>
        <w:tblLook w:val="04A0" w:firstRow="1" w:lastRow="0" w:firstColumn="1" w:lastColumn="0" w:noHBand="0" w:noVBand="1"/>
      </w:tblPr>
      <w:tblGrid>
        <w:gridCol w:w="2395"/>
        <w:gridCol w:w="6836"/>
      </w:tblGrid>
      <w:tr w:rsidR="004209D5" w:rsidRPr="00680F9A" w14:paraId="448A3E73" w14:textId="77777777">
        <w:tc>
          <w:tcPr>
            <w:tcW w:w="9231" w:type="dxa"/>
            <w:gridSpan w:val="2"/>
            <w:shd w:val="clear" w:color="auto" w:fill="C2D69B" w:themeFill="accent3" w:themeFillTint="99"/>
          </w:tcPr>
          <w:p w14:paraId="0F477CC5" w14:textId="77777777" w:rsidR="004209D5" w:rsidRPr="00680F9A" w:rsidRDefault="00000000">
            <w:pPr>
              <w:pStyle w:val="P68B1DB1-Normalny1"/>
              <w:jc w:val="both"/>
              <w:rPr>
                <w:lang w:val="en-GB"/>
              </w:rPr>
            </w:pPr>
            <w:r w:rsidRPr="00680F9A">
              <w:rPr>
                <w:lang w:val="en-GB"/>
              </w:rPr>
              <w:t xml:space="preserve">Pursuant to Art. 13 (1-2) of Regulation (EU) 2016/679 of the European Parliament and of the Council of 27 April 2016 on the protection of natural persons </w:t>
            </w:r>
            <w:r w:rsidRPr="00680F9A">
              <w:rPr>
                <w:lang w:val="en-GB"/>
              </w:rPr>
              <w:br/>
              <w:t xml:space="preserve">with regard to the processing of personal data and on the free movement of such data, and repealing Directive 95/46/EC (General Data </w:t>
            </w:r>
            <w:r w:rsidRPr="00680F9A">
              <w:rPr>
                <w:lang w:val="en-GB"/>
              </w:rPr>
              <w:br/>
              <w:t>Protection Regulation) (Official Journal L 119, p. 1) — hereinafter referred to as GDPR — we would like to inform you that:</w:t>
            </w:r>
          </w:p>
        </w:tc>
      </w:tr>
      <w:tr w:rsidR="004209D5" w:rsidRPr="00680F9A" w14:paraId="7CA69AF8" w14:textId="77777777">
        <w:tc>
          <w:tcPr>
            <w:tcW w:w="2395" w:type="dxa"/>
            <w:shd w:val="clear" w:color="auto" w:fill="C2D69B" w:themeFill="accent3" w:themeFillTint="99"/>
          </w:tcPr>
          <w:p w14:paraId="068A940D" w14:textId="77777777" w:rsidR="004209D5" w:rsidRPr="00680F9A" w:rsidRDefault="00000000">
            <w:pPr>
              <w:pStyle w:val="P68B1DB1-Normalny1"/>
              <w:rPr>
                <w:lang w:val="en-GB"/>
              </w:rPr>
            </w:pPr>
            <w:r w:rsidRPr="00680F9A">
              <w:rPr>
                <w:lang w:val="en-GB"/>
              </w:rPr>
              <w:t>IDENTITY OF THE DATA CONTROLLER</w:t>
            </w:r>
          </w:p>
        </w:tc>
        <w:tc>
          <w:tcPr>
            <w:tcW w:w="6836" w:type="dxa"/>
            <w:shd w:val="clear" w:color="auto" w:fill="FFFFFF" w:themeFill="background1"/>
          </w:tcPr>
          <w:p w14:paraId="0D5E7B23" w14:textId="77777777" w:rsidR="004209D5" w:rsidRPr="00680F9A" w:rsidRDefault="00000000">
            <w:pPr>
              <w:pStyle w:val="P68B1DB1-Normalny2"/>
              <w:jc w:val="both"/>
              <w:rPr>
                <w:lang w:val="en-GB"/>
              </w:rPr>
            </w:pPr>
            <w:r w:rsidRPr="00680F9A">
              <w:rPr>
                <w:lang w:val="en-GB"/>
              </w:rPr>
              <w:t>The Controller of your personal data is the Public Transport Authority of Lublin (Zarząd Transportu Miejskiego w Lublinie) (hereinafter referred to as: "ZTM of Lublin") Nałęczowska 14, 20-701 Lublin, phone 81 466-29-00, e-mail: ztm@ztm.lublin.eu</w:t>
            </w:r>
          </w:p>
        </w:tc>
      </w:tr>
      <w:tr w:rsidR="004209D5" w:rsidRPr="00680F9A" w14:paraId="0904889A" w14:textId="77777777">
        <w:tc>
          <w:tcPr>
            <w:tcW w:w="2395" w:type="dxa"/>
            <w:shd w:val="clear" w:color="auto" w:fill="C2D69B" w:themeFill="accent3" w:themeFillTint="99"/>
          </w:tcPr>
          <w:p w14:paraId="1E941136" w14:textId="77777777" w:rsidR="004209D5" w:rsidRPr="00680F9A" w:rsidRDefault="00000000">
            <w:pPr>
              <w:pStyle w:val="P68B1DB1-Normalny1"/>
              <w:rPr>
                <w:lang w:val="en-GB"/>
              </w:rPr>
            </w:pPr>
            <w:r w:rsidRPr="00680F9A">
              <w:rPr>
                <w:lang w:val="en-GB"/>
              </w:rPr>
              <w:t>CONTACT DETAILS OF THE DATA PROTECTION OFFICER</w:t>
            </w:r>
          </w:p>
        </w:tc>
        <w:tc>
          <w:tcPr>
            <w:tcW w:w="6836" w:type="dxa"/>
            <w:shd w:val="clear" w:color="auto" w:fill="FFFFFF" w:themeFill="background1"/>
          </w:tcPr>
          <w:p w14:paraId="3164F47F" w14:textId="77777777" w:rsidR="004209D5" w:rsidRPr="00680F9A" w:rsidRDefault="00000000">
            <w:pPr>
              <w:jc w:val="both"/>
              <w:rPr>
                <w:sz w:val="28"/>
                <w:lang w:val="en-GB"/>
              </w:rPr>
            </w:pPr>
            <w:r w:rsidRPr="00680F9A">
              <w:rPr>
                <w:sz w:val="28"/>
                <w:lang w:val="en-GB"/>
              </w:rPr>
              <w:t xml:space="preserve">We have appointed the Data Protection Officer whom you may contact in matters related to the protection of your personal data at </w:t>
            </w:r>
            <w:hyperlink r:id="rId4" w:history="1">
              <w:r w:rsidRPr="00680F9A">
                <w:rPr>
                  <w:rStyle w:val="Hyperlink"/>
                  <w:sz w:val="28"/>
                  <w:lang w:val="en-GB"/>
                </w:rPr>
                <w:t>odo@ztm.lublin.eu</w:t>
              </w:r>
            </w:hyperlink>
            <w:r w:rsidRPr="00680F9A">
              <w:rPr>
                <w:sz w:val="28"/>
                <w:lang w:val="en-GB"/>
              </w:rPr>
              <w:t xml:space="preserve"> or in writing to the data controller's address.</w:t>
            </w:r>
          </w:p>
        </w:tc>
      </w:tr>
      <w:tr w:rsidR="004209D5" w:rsidRPr="00680F9A" w14:paraId="246C2095" w14:textId="77777777">
        <w:tc>
          <w:tcPr>
            <w:tcW w:w="2395" w:type="dxa"/>
            <w:shd w:val="clear" w:color="auto" w:fill="C2D69B" w:themeFill="accent3" w:themeFillTint="99"/>
          </w:tcPr>
          <w:p w14:paraId="0DF934F8" w14:textId="77777777" w:rsidR="004209D5" w:rsidRPr="00680F9A" w:rsidRDefault="00000000">
            <w:pPr>
              <w:pStyle w:val="P68B1DB1-Normalny1"/>
              <w:rPr>
                <w:lang w:val="en-GB"/>
              </w:rPr>
            </w:pPr>
            <w:r w:rsidRPr="00680F9A">
              <w:rPr>
                <w:lang w:val="en-GB"/>
              </w:rPr>
              <w:t>PURPOSES OF PROCESSING</w:t>
            </w:r>
            <w:r w:rsidRPr="00680F9A">
              <w:rPr>
                <w:lang w:val="en-GB"/>
              </w:rPr>
              <w:br/>
              <w:t xml:space="preserve"> AND LEGAL GROUNDS</w:t>
            </w:r>
          </w:p>
        </w:tc>
        <w:tc>
          <w:tcPr>
            <w:tcW w:w="6836" w:type="dxa"/>
            <w:shd w:val="clear" w:color="auto" w:fill="FFFFFF" w:themeFill="background1"/>
          </w:tcPr>
          <w:p w14:paraId="2C71CA56" w14:textId="704C7FFD" w:rsidR="004209D5" w:rsidRPr="00680F9A" w:rsidRDefault="00000000">
            <w:pPr>
              <w:pStyle w:val="P68B1DB1-Normalny2"/>
              <w:jc w:val="both"/>
              <w:rPr>
                <w:lang w:val="en-GB"/>
              </w:rPr>
            </w:pPr>
            <w:r w:rsidRPr="00680F9A">
              <w:rPr>
                <w:lang w:val="en-GB"/>
              </w:rPr>
              <w:t xml:space="preserve">Your data will be processed by ZTM of Lublin in order to </w:t>
            </w:r>
            <w:r w:rsidR="00680F9A" w:rsidRPr="00680F9A">
              <w:rPr>
                <w:lang w:val="en-GB"/>
              </w:rPr>
              <w:t>fulfil</w:t>
            </w:r>
            <w:r w:rsidRPr="00680F9A">
              <w:rPr>
                <w:lang w:val="en-GB"/>
              </w:rPr>
              <w:t xml:space="preserve"> the obligations in the field of protection of persons and property resulting from the provisions of the Act of 8 March 1990 on municipal self-government - in relation to Art. 6 (1)(c) of the GDPR, as well as for the purpose of possible investigation or </w:t>
            </w:r>
            <w:r w:rsidR="00680F9A" w:rsidRPr="00680F9A">
              <w:rPr>
                <w:lang w:val="en-GB"/>
              </w:rPr>
              <w:t>defence</w:t>
            </w:r>
            <w:r w:rsidRPr="00680F9A">
              <w:rPr>
                <w:lang w:val="en-GB"/>
              </w:rPr>
              <w:t xml:space="preserve"> against claims – due to the legitimate interest of the data controller (in relation to Art. 6 (1)(f) of the GDPR).</w:t>
            </w:r>
          </w:p>
        </w:tc>
      </w:tr>
      <w:tr w:rsidR="004209D5" w:rsidRPr="00680F9A" w14:paraId="60D78310" w14:textId="77777777">
        <w:tc>
          <w:tcPr>
            <w:tcW w:w="2395" w:type="dxa"/>
            <w:shd w:val="clear" w:color="auto" w:fill="C2D69B" w:themeFill="accent3" w:themeFillTint="99"/>
          </w:tcPr>
          <w:p w14:paraId="632AB7B6" w14:textId="77777777" w:rsidR="004209D5" w:rsidRPr="00680F9A" w:rsidRDefault="00000000">
            <w:pPr>
              <w:pStyle w:val="P68B1DB1-Normalny1"/>
              <w:rPr>
                <w:lang w:val="en-GB"/>
              </w:rPr>
            </w:pPr>
            <w:r w:rsidRPr="00680F9A">
              <w:rPr>
                <w:lang w:val="en-GB"/>
              </w:rPr>
              <w:t>AREA COVERED BY VIDEO SURVEILLANCE</w:t>
            </w:r>
          </w:p>
        </w:tc>
        <w:tc>
          <w:tcPr>
            <w:tcW w:w="6836" w:type="dxa"/>
            <w:shd w:val="clear" w:color="auto" w:fill="FFFFFF" w:themeFill="background1"/>
          </w:tcPr>
          <w:p w14:paraId="78D6BB2C" w14:textId="6262471F" w:rsidR="004209D5" w:rsidRPr="00680F9A" w:rsidRDefault="00000000">
            <w:pPr>
              <w:pStyle w:val="P68B1DB1-Normalny2"/>
              <w:jc w:val="both"/>
              <w:rPr>
                <w:lang w:val="en-GB"/>
              </w:rPr>
            </w:pPr>
            <w:r w:rsidRPr="00680F9A">
              <w:rPr>
                <w:lang w:val="en-GB"/>
              </w:rPr>
              <w:t xml:space="preserve">Monitoring covers the Lublin Bus Station area </w:t>
            </w:r>
            <w:r w:rsidRPr="00680F9A">
              <w:rPr>
                <w:lang w:val="en-GB"/>
              </w:rPr>
              <w:br/>
              <w:t xml:space="preserve">at ul. Dworcowa 2 (hereinafter referred to as </w:t>
            </w:r>
            <w:r w:rsidR="00680F9A">
              <w:rPr>
                <w:lang w:val="en-GB"/>
              </w:rPr>
              <w:t>the bus station</w:t>
            </w:r>
            <w:r w:rsidRPr="00680F9A">
              <w:rPr>
                <w:lang w:val="en-GB"/>
              </w:rPr>
              <w:t xml:space="preserve">), including: the interior of </w:t>
            </w:r>
            <w:r w:rsidR="00680F9A">
              <w:rPr>
                <w:lang w:val="en-GB"/>
              </w:rPr>
              <w:t>the bus station</w:t>
            </w:r>
            <w:r w:rsidRPr="00680F9A">
              <w:rPr>
                <w:lang w:val="en-GB"/>
              </w:rPr>
              <w:t xml:space="preserve"> building and the area around the building, the vehicle </w:t>
            </w:r>
            <w:r w:rsidR="00680F9A" w:rsidRPr="00680F9A">
              <w:rPr>
                <w:lang w:val="en-GB"/>
              </w:rPr>
              <w:t>manoeuvre</w:t>
            </w:r>
            <w:r w:rsidRPr="00680F9A">
              <w:rPr>
                <w:lang w:val="en-GB"/>
              </w:rPr>
              <w:t xml:space="preserve"> area with check-in bays, entrances and exits from </w:t>
            </w:r>
            <w:r w:rsidR="00680F9A">
              <w:rPr>
                <w:lang w:val="en-GB"/>
              </w:rPr>
              <w:t>the bus station</w:t>
            </w:r>
            <w:r w:rsidRPr="00680F9A">
              <w:rPr>
                <w:lang w:val="en-GB"/>
              </w:rPr>
              <w:t xml:space="preserve">, the observation deck on the roof of </w:t>
            </w:r>
            <w:r w:rsidR="00680F9A">
              <w:rPr>
                <w:lang w:val="en-GB"/>
              </w:rPr>
              <w:t>the bus station</w:t>
            </w:r>
            <w:r w:rsidRPr="00680F9A">
              <w:rPr>
                <w:lang w:val="en-GB"/>
              </w:rPr>
              <w:t xml:space="preserve"> building, as well as the P&amp;R car park under </w:t>
            </w:r>
            <w:r w:rsidR="00680F9A">
              <w:rPr>
                <w:lang w:val="en-GB"/>
              </w:rPr>
              <w:t>the bus station</w:t>
            </w:r>
            <w:r w:rsidRPr="00680F9A">
              <w:rPr>
                <w:lang w:val="en-GB"/>
              </w:rPr>
              <w:t xml:space="preserve"> building. Only visual data (without sound) is subject to recording and storage on a medium. </w:t>
            </w:r>
          </w:p>
        </w:tc>
      </w:tr>
      <w:tr w:rsidR="004209D5" w:rsidRPr="00680F9A" w14:paraId="132B2463" w14:textId="77777777">
        <w:tc>
          <w:tcPr>
            <w:tcW w:w="2395" w:type="dxa"/>
            <w:shd w:val="clear" w:color="auto" w:fill="C2D69B" w:themeFill="accent3" w:themeFillTint="99"/>
          </w:tcPr>
          <w:p w14:paraId="46CBF539" w14:textId="77777777" w:rsidR="004209D5" w:rsidRPr="00680F9A" w:rsidRDefault="00000000">
            <w:pPr>
              <w:pStyle w:val="P68B1DB1-Normalny1"/>
              <w:rPr>
                <w:lang w:val="en-GB"/>
              </w:rPr>
            </w:pPr>
            <w:r w:rsidRPr="00680F9A">
              <w:rPr>
                <w:lang w:val="en-GB"/>
              </w:rPr>
              <w:t>DATA RECIPIENTS</w:t>
            </w:r>
          </w:p>
        </w:tc>
        <w:tc>
          <w:tcPr>
            <w:tcW w:w="6836" w:type="dxa"/>
            <w:shd w:val="clear" w:color="auto" w:fill="FFFFFF" w:themeFill="background1"/>
          </w:tcPr>
          <w:p w14:paraId="198B6194" w14:textId="77777777" w:rsidR="004209D5" w:rsidRPr="00680F9A" w:rsidRDefault="00000000">
            <w:pPr>
              <w:jc w:val="both"/>
              <w:rPr>
                <w:sz w:val="28"/>
                <w:lang w:val="en-GB"/>
              </w:rPr>
            </w:pPr>
            <w:r w:rsidRPr="00680F9A">
              <w:rPr>
                <w:sz w:val="28"/>
                <w:lang w:val="en-GB"/>
              </w:rPr>
              <w:t xml:space="preserve">Your personal data may be transferred only to entities authorised to obtain personal data on the basis of legal provisions and entities having data processing agreements concluded </w:t>
            </w:r>
            <w:r w:rsidRPr="00680F9A">
              <w:rPr>
                <w:sz w:val="28"/>
                <w:lang w:val="en-GB"/>
              </w:rPr>
              <w:br/>
              <w:t>with the Data Controller.</w:t>
            </w:r>
            <w:r w:rsidRPr="00680F9A">
              <w:rPr>
                <w:rFonts w:ascii="Arial Narrow" w:hAnsi="Arial Narrow"/>
                <w:lang w:val="en-GB"/>
              </w:rPr>
              <w:t xml:space="preserve"> </w:t>
            </w:r>
            <w:r w:rsidRPr="00680F9A">
              <w:rPr>
                <w:sz w:val="28"/>
                <w:lang w:val="en-GB"/>
              </w:rPr>
              <w:t xml:space="preserve"> Each securing of events recorded by video monitoring takes place upon a written request submitted to the Data Controller. Secured data </w:t>
            </w:r>
            <w:r w:rsidRPr="00680F9A">
              <w:rPr>
                <w:sz w:val="28"/>
                <w:lang w:val="en-GB"/>
              </w:rPr>
              <w:lastRenderedPageBreak/>
              <w:t>from video monitoring shall be made available only to authorities conducting proceedings related to an event recorded, e.g. the police, prosecutor's office and courts, which operate on the basis of separate regulations.</w:t>
            </w:r>
          </w:p>
        </w:tc>
      </w:tr>
      <w:tr w:rsidR="004209D5" w:rsidRPr="00680F9A" w14:paraId="75FACD71" w14:textId="77777777">
        <w:tc>
          <w:tcPr>
            <w:tcW w:w="2395" w:type="dxa"/>
            <w:shd w:val="clear" w:color="auto" w:fill="C2D69B" w:themeFill="accent3" w:themeFillTint="99"/>
          </w:tcPr>
          <w:p w14:paraId="791FB796" w14:textId="77777777" w:rsidR="004209D5" w:rsidRPr="00680F9A" w:rsidRDefault="00000000">
            <w:pPr>
              <w:pStyle w:val="P68B1DB1-Normalny1"/>
              <w:rPr>
                <w:lang w:val="en-GB"/>
              </w:rPr>
            </w:pPr>
            <w:r w:rsidRPr="00680F9A">
              <w:rPr>
                <w:lang w:val="en-GB"/>
              </w:rPr>
              <w:lastRenderedPageBreak/>
              <w:t>DATA RETENTION PERIOD</w:t>
            </w:r>
          </w:p>
        </w:tc>
        <w:tc>
          <w:tcPr>
            <w:tcW w:w="6836" w:type="dxa"/>
            <w:shd w:val="clear" w:color="auto" w:fill="FFFFFF" w:themeFill="background1"/>
          </w:tcPr>
          <w:p w14:paraId="50D2FC96" w14:textId="77777777" w:rsidR="004209D5" w:rsidRPr="00680F9A" w:rsidRDefault="00000000">
            <w:pPr>
              <w:jc w:val="both"/>
              <w:rPr>
                <w:sz w:val="28"/>
                <w:lang w:val="en-GB"/>
              </w:rPr>
            </w:pPr>
            <w:r w:rsidRPr="00680F9A">
              <w:rPr>
                <w:sz w:val="28"/>
                <w:lang w:val="en-GB"/>
              </w:rPr>
              <w:t>Your personal data will be stored for a period of up to 30 days from the moment of recording the image by the video monitoring system</w:t>
            </w:r>
            <w:r w:rsidRPr="00680F9A">
              <w:rPr>
                <w:lang w:val="en-GB"/>
              </w:rPr>
              <w:t xml:space="preserve"> (</w:t>
            </w:r>
            <w:r w:rsidRPr="00680F9A">
              <w:rPr>
                <w:sz w:val="28"/>
                <w:lang w:val="en-GB"/>
              </w:rPr>
              <w:t>the storage time depends on the number of events, after the disc space expires, the data is automatically overwritten), and in the case where the video recordings may constitute evidence in proceedings conducted on the basis of legal provisions, the data will be processed until the final conclusion of the proceedings.</w:t>
            </w:r>
          </w:p>
          <w:p w14:paraId="4930F383" w14:textId="77777777" w:rsidR="004209D5" w:rsidRPr="00680F9A" w:rsidRDefault="004209D5">
            <w:pPr>
              <w:jc w:val="both"/>
              <w:rPr>
                <w:sz w:val="28"/>
                <w:lang w:val="en-GB"/>
              </w:rPr>
            </w:pPr>
          </w:p>
        </w:tc>
      </w:tr>
      <w:tr w:rsidR="004209D5" w:rsidRPr="00680F9A" w14:paraId="67A961A2" w14:textId="77777777">
        <w:tc>
          <w:tcPr>
            <w:tcW w:w="2395" w:type="dxa"/>
            <w:shd w:val="clear" w:color="auto" w:fill="C2D69B" w:themeFill="accent3" w:themeFillTint="99"/>
          </w:tcPr>
          <w:p w14:paraId="31A854A0" w14:textId="77777777" w:rsidR="004209D5" w:rsidRPr="00680F9A" w:rsidRDefault="00000000">
            <w:pPr>
              <w:pStyle w:val="P68B1DB1-Normalny1"/>
              <w:rPr>
                <w:lang w:val="en-GB"/>
              </w:rPr>
            </w:pPr>
            <w:r w:rsidRPr="00680F9A">
              <w:rPr>
                <w:lang w:val="en-GB"/>
              </w:rPr>
              <w:t>TRANSFER OF DATA TO THIRD COUNTRIES</w:t>
            </w:r>
          </w:p>
        </w:tc>
        <w:tc>
          <w:tcPr>
            <w:tcW w:w="6836" w:type="dxa"/>
            <w:shd w:val="clear" w:color="auto" w:fill="FFFFFF" w:themeFill="background1"/>
          </w:tcPr>
          <w:p w14:paraId="21C3393F" w14:textId="77777777" w:rsidR="004209D5" w:rsidRPr="00680F9A" w:rsidRDefault="00000000">
            <w:pPr>
              <w:pStyle w:val="P68B1DB1-Akapitzlist3"/>
              <w:ind w:left="0"/>
              <w:jc w:val="both"/>
              <w:rPr>
                <w:lang w:val="en-GB"/>
              </w:rPr>
            </w:pPr>
            <w:r w:rsidRPr="00680F9A">
              <w:rPr>
                <w:lang w:val="en-GB"/>
              </w:rPr>
              <w:t>Your data will not go beyond the European Economic Area (including the European Union, Norway, Liechtenstein, United Kingdom and Iceland).</w:t>
            </w:r>
          </w:p>
          <w:p w14:paraId="5977E56D" w14:textId="77777777" w:rsidR="004209D5" w:rsidRPr="00680F9A" w:rsidRDefault="004209D5">
            <w:pPr>
              <w:pStyle w:val="ListParagraph"/>
              <w:ind w:left="0"/>
              <w:jc w:val="both"/>
              <w:rPr>
                <w:sz w:val="28"/>
                <w:lang w:val="en-GB"/>
              </w:rPr>
            </w:pPr>
          </w:p>
        </w:tc>
      </w:tr>
      <w:tr w:rsidR="004209D5" w:rsidRPr="00680F9A" w14:paraId="1776900B" w14:textId="77777777">
        <w:tc>
          <w:tcPr>
            <w:tcW w:w="2395" w:type="dxa"/>
            <w:shd w:val="clear" w:color="auto" w:fill="C2D69B" w:themeFill="accent3" w:themeFillTint="99"/>
          </w:tcPr>
          <w:p w14:paraId="6813784A" w14:textId="77777777" w:rsidR="004209D5" w:rsidRPr="00680F9A" w:rsidRDefault="00000000">
            <w:pPr>
              <w:pStyle w:val="P68B1DB1-Normalny1"/>
              <w:rPr>
                <w:lang w:val="en-GB"/>
              </w:rPr>
            </w:pPr>
            <w:r w:rsidRPr="00680F9A">
              <w:rPr>
                <w:lang w:val="en-GB"/>
              </w:rPr>
              <w:t>PROCEDURES FOR AUTOMATED DECISION-MAKING</w:t>
            </w:r>
          </w:p>
        </w:tc>
        <w:tc>
          <w:tcPr>
            <w:tcW w:w="6836" w:type="dxa"/>
            <w:shd w:val="clear" w:color="auto" w:fill="FFFFFF" w:themeFill="background1"/>
          </w:tcPr>
          <w:p w14:paraId="4DFA9310" w14:textId="77777777" w:rsidR="004209D5" w:rsidRPr="00680F9A" w:rsidRDefault="00000000">
            <w:pPr>
              <w:pStyle w:val="P68B1DB1-Akapitzlist3"/>
              <w:ind w:left="0"/>
              <w:jc w:val="both"/>
              <w:rPr>
                <w:lang w:val="en-GB"/>
              </w:rPr>
            </w:pPr>
            <w:r w:rsidRPr="00680F9A">
              <w:rPr>
                <w:lang w:val="en-GB"/>
              </w:rPr>
              <w:t>Your data may be processed in an automated manner, but it will not be profiled.</w:t>
            </w:r>
          </w:p>
          <w:p w14:paraId="20E8A109" w14:textId="77777777" w:rsidR="004209D5" w:rsidRPr="00680F9A" w:rsidRDefault="004209D5">
            <w:pPr>
              <w:pStyle w:val="ListParagraph"/>
              <w:ind w:left="0"/>
              <w:jc w:val="both"/>
              <w:rPr>
                <w:sz w:val="28"/>
                <w:lang w:val="en-GB"/>
              </w:rPr>
            </w:pPr>
          </w:p>
        </w:tc>
      </w:tr>
      <w:tr w:rsidR="004209D5" w:rsidRPr="00680F9A" w14:paraId="39FF44D7" w14:textId="77777777">
        <w:tc>
          <w:tcPr>
            <w:tcW w:w="2395" w:type="dxa"/>
            <w:shd w:val="clear" w:color="auto" w:fill="C2D69B" w:themeFill="accent3" w:themeFillTint="99"/>
          </w:tcPr>
          <w:p w14:paraId="3A80AB32" w14:textId="77777777" w:rsidR="004209D5" w:rsidRPr="00680F9A" w:rsidRDefault="00000000">
            <w:pPr>
              <w:pStyle w:val="P68B1DB1-Normalny1"/>
              <w:rPr>
                <w:lang w:val="en-GB"/>
              </w:rPr>
            </w:pPr>
            <w:r w:rsidRPr="00680F9A">
              <w:rPr>
                <w:lang w:val="en-GB"/>
              </w:rPr>
              <w:t>DATA SUBJECTS RIGHTS</w:t>
            </w:r>
          </w:p>
        </w:tc>
        <w:tc>
          <w:tcPr>
            <w:tcW w:w="6836" w:type="dxa"/>
            <w:shd w:val="clear" w:color="auto" w:fill="FFFFFF" w:themeFill="background1"/>
          </w:tcPr>
          <w:p w14:paraId="753475A7" w14:textId="77777777" w:rsidR="004209D5" w:rsidRPr="00680F9A" w:rsidRDefault="00000000">
            <w:pPr>
              <w:pStyle w:val="P68B1DB1-Normalny2"/>
              <w:jc w:val="both"/>
              <w:rPr>
                <w:lang w:val="en-GB"/>
              </w:rPr>
            </w:pPr>
            <w:r w:rsidRPr="00680F9A">
              <w:rPr>
                <w:lang w:val="en-GB"/>
              </w:rPr>
              <w:t>Pursuant to the GDPR, you have the right to request from the data controller:</w:t>
            </w:r>
          </w:p>
          <w:p w14:paraId="7892755C" w14:textId="77777777" w:rsidR="004209D5" w:rsidRPr="00680F9A" w:rsidRDefault="00000000">
            <w:pPr>
              <w:pStyle w:val="P68B1DB1-Normalny2"/>
              <w:jc w:val="both"/>
              <w:rPr>
                <w:lang w:val="en-GB"/>
              </w:rPr>
            </w:pPr>
            <w:r w:rsidRPr="00680F9A">
              <w:rPr>
                <w:lang w:val="en-GB"/>
              </w:rPr>
              <w:t xml:space="preserve">- that the data processing be limited, </w:t>
            </w:r>
          </w:p>
          <w:p w14:paraId="25AD47A1" w14:textId="77777777" w:rsidR="004209D5" w:rsidRPr="00680F9A" w:rsidRDefault="00000000">
            <w:pPr>
              <w:pStyle w:val="P68B1DB1-Normalny2"/>
              <w:jc w:val="both"/>
              <w:rPr>
                <w:lang w:val="en-GB"/>
              </w:rPr>
            </w:pPr>
            <w:r w:rsidRPr="00680F9A">
              <w:rPr>
                <w:lang w:val="en-GB"/>
              </w:rPr>
              <w:t xml:space="preserve">- access to your personal data, </w:t>
            </w:r>
          </w:p>
          <w:p w14:paraId="03A1B30C" w14:textId="77777777" w:rsidR="004209D5" w:rsidRPr="00680F9A" w:rsidRDefault="00000000">
            <w:pPr>
              <w:pStyle w:val="P68B1DB1-Normalny2"/>
              <w:jc w:val="both"/>
              <w:rPr>
                <w:lang w:val="en-GB"/>
              </w:rPr>
            </w:pPr>
            <w:r w:rsidRPr="00680F9A">
              <w:rPr>
                <w:lang w:val="en-GB"/>
              </w:rPr>
              <w:t>- that your personal data be deleted,</w:t>
            </w:r>
          </w:p>
          <w:p w14:paraId="6D5E98BE" w14:textId="77777777" w:rsidR="004209D5" w:rsidRPr="00680F9A" w:rsidRDefault="00000000">
            <w:pPr>
              <w:pStyle w:val="P68B1DB1-Normalny2"/>
              <w:jc w:val="both"/>
              <w:rPr>
                <w:lang w:val="en-GB"/>
              </w:rPr>
            </w:pPr>
            <w:r w:rsidRPr="00680F9A">
              <w:rPr>
                <w:lang w:val="en-GB"/>
              </w:rPr>
              <w:t>- you can object to data processing,</w:t>
            </w:r>
          </w:p>
          <w:p w14:paraId="61169281" w14:textId="77777777" w:rsidR="004209D5" w:rsidRPr="00680F9A" w:rsidRDefault="00000000">
            <w:pPr>
              <w:pStyle w:val="P68B1DB1-Normalny2"/>
              <w:jc w:val="both"/>
              <w:rPr>
                <w:lang w:val="en-GB"/>
              </w:rPr>
            </w:pPr>
            <w:r w:rsidRPr="00680F9A">
              <w:rPr>
                <w:lang w:val="en-GB"/>
              </w:rPr>
              <w:t xml:space="preserve"> if such a right proves to be justified.</w:t>
            </w:r>
          </w:p>
        </w:tc>
      </w:tr>
      <w:tr w:rsidR="004209D5" w:rsidRPr="00680F9A" w14:paraId="1F1CB7F7" w14:textId="77777777">
        <w:tc>
          <w:tcPr>
            <w:tcW w:w="2395" w:type="dxa"/>
            <w:shd w:val="clear" w:color="auto" w:fill="C2D69B" w:themeFill="accent3" w:themeFillTint="99"/>
          </w:tcPr>
          <w:p w14:paraId="1100CE1D" w14:textId="77777777" w:rsidR="004209D5" w:rsidRPr="00680F9A" w:rsidRDefault="00000000">
            <w:pPr>
              <w:pStyle w:val="P68B1DB1-Normalny1"/>
              <w:rPr>
                <w:lang w:val="en-GB"/>
              </w:rPr>
            </w:pPr>
            <w:r w:rsidRPr="00680F9A">
              <w:rPr>
                <w:lang w:val="en-GB"/>
              </w:rPr>
              <w:t>THE RIGHT TO LODGE A COMPLAINT TO A SUPERVISORY AUTHORITY</w:t>
            </w:r>
          </w:p>
        </w:tc>
        <w:tc>
          <w:tcPr>
            <w:tcW w:w="6836" w:type="dxa"/>
            <w:shd w:val="clear" w:color="auto" w:fill="FFFFFF" w:themeFill="background1"/>
          </w:tcPr>
          <w:p w14:paraId="66EFF87D" w14:textId="77777777" w:rsidR="004209D5" w:rsidRPr="00680F9A" w:rsidRDefault="00000000">
            <w:pPr>
              <w:pStyle w:val="P68B1DB1-Normalny2"/>
              <w:jc w:val="both"/>
              <w:rPr>
                <w:lang w:val="en-GB"/>
              </w:rPr>
            </w:pPr>
            <w:r w:rsidRPr="00680F9A">
              <w:rPr>
                <w:lang w:val="en-GB"/>
              </w:rPr>
              <w:t>You have the right to lodge a complaint to a supervisory authority if, in your opinion, the processing of your personal data violates the provisions of the GDPR. The supervisory authority in Poland is the President of the Personal Data Protection Office.</w:t>
            </w:r>
          </w:p>
        </w:tc>
      </w:tr>
      <w:tr w:rsidR="004209D5" w:rsidRPr="00680F9A" w14:paraId="7C776AD8" w14:textId="77777777">
        <w:tc>
          <w:tcPr>
            <w:tcW w:w="2395" w:type="dxa"/>
            <w:shd w:val="clear" w:color="auto" w:fill="C2D69B" w:themeFill="accent3" w:themeFillTint="99"/>
          </w:tcPr>
          <w:p w14:paraId="2BCA4F6E" w14:textId="77777777" w:rsidR="004209D5" w:rsidRPr="00680F9A" w:rsidRDefault="00000000">
            <w:pPr>
              <w:pStyle w:val="P68B1DB1-Normalny1"/>
              <w:rPr>
                <w:lang w:val="en-GB"/>
              </w:rPr>
            </w:pPr>
            <w:r w:rsidRPr="00680F9A">
              <w:rPr>
                <w:lang w:val="en-GB"/>
              </w:rPr>
              <w:t>INFORMATION ON VOLUNTARY SUBMISSION OR OBLIGATION TO PROVIDE DATA</w:t>
            </w:r>
          </w:p>
        </w:tc>
        <w:tc>
          <w:tcPr>
            <w:tcW w:w="6836" w:type="dxa"/>
            <w:shd w:val="clear" w:color="auto" w:fill="FFFFFF" w:themeFill="background1"/>
          </w:tcPr>
          <w:p w14:paraId="0B55FA7E" w14:textId="3574B6EF" w:rsidR="004209D5" w:rsidRPr="00680F9A" w:rsidRDefault="00000000">
            <w:pPr>
              <w:pStyle w:val="P68B1DB1-Normalny2"/>
              <w:jc w:val="both"/>
              <w:rPr>
                <w:lang w:val="en-GB"/>
              </w:rPr>
            </w:pPr>
            <w:r w:rsidRPr="00680F9A">
              <w:rPr>
                <w:lang w:val="en-GB"/>
              </w:rPr>
              <w:t xml:space="preserve">Providing personal data in the form of an image is voluntary, but necessary to enter the area covered by the monitoring. Failure to willingly provide data shall results in having no access to </w:t>
            </w:r>
            <w:r w:rsidR="00680F9A">
              <w:rPr>
                <w:lang w:val="en-GB"/>
              </w:rPr>
              <w:t>the bus station</w:t>
            </w:r>
            <w:r w:rsidRPr="00680F9A">
              <w:rPr>
                <w:lang w:val="en-GB"/>
              </w:rPr>
              <w:t xml:space="preserve"> area.</w:t>
            </w:r>
          </w:p>
        </w:tc>
      </w:tr>
    </w:tbl>
    <w:p w14:paraId="0C4ACDB8" w14:textId="77777777" w:rsidR="004209D5" w:rsidRPr="00680F9A" w:rsidRDefault="004209D5">
      <w:pPr>
        <w:rPr>
          <w:lang w:val="en-GB"/>
        </w:rPr>
      </w:pPr>
    </w:p>
    <w:sectPr w:rsidR="004209D5" w:rsidRPr="00680F9A">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0" w:nlCheck="1" w:checkStyle="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C0D19"/>
    <w:rsid w:val="00032B89"/>
    <w:rsid w:val="00057125"/>
    <w:rsid w:val="000A755B"/>
    <w:rsid w:val="00100179"/>
    <w:rsid w:val="00154041"/>
    <w:rsid w:val="00184E5A"/>
    <w:rsid w:val="001C78CC"/>
    <w:rsid w:val="002F522D"/>
    <w:rsid w:val="00381AAF"/>
    <w:rsid w:val="00386F20"/>
    <w:rsid w:val="003F5B27"/>
    <w:rsid w:val="004209D5"/>
    <w:rsid w:val="0043424C"/>
    <w:rsid w:val="00524860"/>
    <w:rsid w:val="005B49E9"/>
    <w:rsid w:val="005D392D"/>
    <w:rsid w:val="005D3C8B"/>
    <w:rsid w:val="006064BB"/>
    <w:rsid w:val="00612AF0"/>
    <w:rsid w:val="00640502"/>
    <w:rsid w:val="00680F9A"/>
    <w:rsid w:val="00690EC1"/>
    <w:rsid w:val="006B431E"/>
    <w:rsid w:val="006F3246"/>
    <w:rsid w:val="007477A5"/>
    <w:rsid w:val="007B4A13"/>
    <w:rsid w:val="007D7166"/>
    <w:rsid w:val="00811F8B"/>
    <w:rsid w:val="0088352F"/>
    <w:rsid w:val="008B2AA8"/>
    <w:rsid w:val="008C7756"/>
    <w:rsid w:val="008F1D3E"/>
    <w:rsid w:val="009E6A68"/>
    <w:rsid w:val="00A86FD5"/>
    <w:rsid w:val="00AE06AA"/>
    <w:rsid w:val="00B0429B"/>
    <w:rsid w:val="00B52B00"/>
    <w:rsid w:val="00B545A7"/>
    <w:rsid w:val="00B75CEA"/>
    <w:rsid w:val="00B97E1B"/>
    <w:rsid w:val="00BA391D"/>
    <w:rsid w:val="00BB7528"/>
    <w:rsid w:val="00BC0D19"/>
    <w:rsid w:val="00C4530F"/>
    <w:rsid w:val="00D254FA"/>
    <w:rsid w:val="00E05114"/>
    <w:rsid w:val="00E12D9E"/>
    <w:rsid w:val="00FD11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EB72B"/>
  <w15:docId w15:val="{0F858B3E-49CB-44EA-974D-2BDBF943F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D1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0D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C0D19"/>
    <w:rPr>
      <w:color w:val="0000FF"/>
      <w:u w:val="single"/>
    </w:rPr>
  </w:style>
  <w:style w:type="paragraph" w:styleId="ListParagraph">
    <w:name w:val="List Paragraph"/>
    <w:basedOn w:val="Normal"/>
    <w:uiPriority w:val="34"/>
    <w:qFormat/>
    <w:rsid w:val="003F5B27"/>
    <w:pPr>
      <w:ind w:left="720"/>
      <w:contextualSpacing/>
    </w:pPr>
  </w:style>
  <w:style w:type="paragraph" w:customStyle="1" w:styleId="P68B1DB1-Normalny1">
    <w:name w:val="P68B1DB1-Normalny1"/>
    <w:basedOn w:val="Normal"/>
    <w:rPr>
      <w:b/>
      <w:sz w:val="28"/>
    </w:rPr>
  </w:style>
  <w:style w:type="paragraph" w:customStyle="1" w:styleId="P68B1DB1-Normalny2">
    <w:name w:val="P68B1DB1-Normalny2"/>
    <w:basedOn w:val="Normal"/>
    <w:rPr>
      <w:sz w:val="28"/>
    </w:rPr>
  </w:style>
  <w:style w:type="paragraph" w:customStyle="1" w:styleId="P68B1DB1-Akapitzlist3">
    <w:name w:val="P68B1DB1-Akapitzlist3"/>
    <w:basedOn w:val="ListParagraph"/>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do@ztm.lublin.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604</Words>
  <Characters>3626</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YXY</cp:lastModifiedBy>
  <cp:revision>7</cp:revision>
  <cp:lastPrinted>2021-04-20T10:41:00Z</cp:lastPrinted>
  <dcterms:created xsi:type="dcterms:W3CDTF">2023-12-27T09:14:00Z</dcterms:created>
  <dcterms:modified xsi:type="dcterms:W3CDTF">2025-05-08T16:06:00Z</dcterms:modified>
</cp:coreProperties>
</file>