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14"/>
        <w:gridCol w:w="5748"/>
      </w:tblGrid>
      <w:tr w:rsidR="00FF1A86" w:rsidRPr="003A0A35" w14:paraId="7D2D786D" w14:textId="77777777">
        <w:tc>
          <w:tcPr>
            <w:tcW w:w="9231" w:type="dxa"/>
            <w:gridSpan w:val="2"/>
            <w:shd w:val="clear" w:color="auto" w:fill="C2D69B" w:themeFill="accent3" w:themeFillTint="99"/>
          </w:tcPr>
          <w:p w14:paraId="34C82483" w14:textId="3AEC5A2D" w:rsidR="00FF1A86" w:rsidRPr="003A0A35" w:rsidRDefault="00000000">
            <w:pPr>
              <w:pStyle w:val="P68B1DB1-Normalny1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>Відповідно до ст. 13 абз. 1-2</w:t>
            </w:r>
            <w:r w:rsidR="003A0A35">
              <w:t xml:space="preserve"> </w:t>
            </w:r>
            <w:r w:rsidRPr="003A0A35">
              <w:rPr>
                <w:lang w:val="uk-UA"/>
              </w:rPr>
              <w:t>Регламенту Європейського Парламенту та Ради (ЄС) 2016/679 від 27 квітня 2016 р. «Про захист фізичних осіб у зв'язку з обробкою персональних даних та про вільний рух таких даних</w:t>
            </w:r>
            <w:r w:rsidR="003A0A35" w:rsidRPr="003A0A35">
              <w:rPr>
                <w:bCs/>
                <w:lang w:val="en-GB"/>
              </w:rPr>
              <w:t>»</w:t>
            </w:r>
            <w:r w:rsidR="003A0A35">
              <w:rPr>
                <w:bCs/>
                <w:lang w:val="uk-UA"/>
              </w:rPr>
              <w:t>,</w:t>
            </w:r>
            <w:r w:rsidRPr="003A0A35">
              <w:rPr>
                <w:lang w:val="uk-UA"/>
              </w:rPr>
              <w:t xml:space="preserve"> а також про скасування Директиви 95/46/WE (Загальний регламент </w:t>
            </w:r>
            <w:r w:rsidRPr="003A0A35">
              <w:rPr>
                <w:lang w:val="uk-UA"/>
              </w:rPr>
              <w:br/>
              <w:t xml:space="preserve">про захист даних) (Законод. В. </w:t>
            </w:r>
            <w:r w:rsidR="003A0A35">
              <w:rPr>
                <w:lang w:val="uk-UA"/>
              </w:rPr>
              <w:t>ЄС</w:t>
            </w:r>
            <w:r w:rsidRPr="003A0A35">
              <w:rPr>
                <w:lang w:val="uk-UA"/>
              </w:rPr>
              <w:t xml:space="preserve"> L 119, стор. 1) – далі – GDPR (RODO) – повідомляємо, що:</w:t>
            </w:r>
          </w:p>
        </w:tc>
      </w:tr>
      <w:tr w:rsidR="00FF1A86" w:rsidRPr="003A0A35" w14:paraId="09BB86AE" w14:textId="77777777">
        <w:tc>
          <w:tcPr>
            <w:tcW w:w="2395" w:type="dxa"/>
            <w:shd w:val="clear" w:color="auto" w:fill="C2D69B" w:themeFill="accent3" w:themeFillTint="99"/>
          </w:tcPr>
          <w:p w14:paraId="5471DF57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ІДЕНТИФІКАТОР АДМІНІСТРАТОРА</w:t>
            </w:r>
          </w:p>
        </w:tc>
        <w:tc>
          <w:tcPr>
            <w:tcW w:w="6836" w:type="dxa"/>
            <w:shd w:val="clear" w:color="auto" w:fill="FFFFFF" w:themeFill="background1"/>
          </w:tcPr>
          <w:p w14:paraId="2F91DC41" w14:textId="441D5885" w:rsidR="00FF1A86" w:rsidRPr="003A0A35" w:rsidRDefault="00AA0784">
            <w:pPr>
              <w:pStyle w:val="P68B1DB1-Normalny2"/>
              <w:jc w:val="both"/>
              <w:rPr>
                <w:lang w:val="uk-UA"/>
              </w:rPr>
            </w:pPr>
            <w:r w:rsidRPr="00AA0784">
              <w:rPr>
                <w:lang w:val="uk-UA"/>
              </w:rPr>
              <w:t>Адміністратором Ваших персональних даних є Управління міського транспорту м. Люблін (</w:t>
            </w:r>
            <w:proofErr w:type="spellStart"/>
            <w:r w:rsidRPr="00AA0784">
              <w:t>Zarz</w:t>
            </w:r>
            <w:proofErr w:type="spellEnd"/>
            <w:r w:rsidRPr="00AA0784">
              <w:rPr>
                <w:lang w:val="uk-UA"/>
              </w:rPr>
              <w:t>ą</w:t>
            </w:r>
            <w:r w:rsidRPr="00AA0784">
              <w:t>d</w:t>
            </w:r>
            <w:r w:rsidRPr="00AA0784">
              <w:rPr>
                <w:lang w:val="uk-UA"/>
              </w:rPr>
              <w:t xml:space="preserve"> </w:t>
            </w:r>
            <w:r w:rsidRPr="00AA0784">
              <w:t>Dr</w:t>
            </w:r>
            <w:r w:rsidRPr="00AA0784">
              <w:rPr>
                <w:lang w:val="uk-UA"/>
              </w:rPr>
              <w:t>ó</w:t>
            </w:r>
            <w:r w:rsidRPr="00AA0784">
              <w:t>g</w:t>
            </w:r>
            <w:r w:rsidRPr="00AA0784">
              <w:rPr>
                <w:lang w:val="uk-UA"/>
              </w:rPr>
              <w:t xml:space="preserve"> </w:t>
            </w:r>
            <w:r w:rsidRPr="00AA0784">
              <w:t>i</w:t>
            </w:r>
            <w:r w:rsidRPr="00AA0784">
              <w:rPr>
                <w:lang w:val="uk-UA"/>
              </w:rPr>
              <w:t xml:space="preserve"> </w:t>
            </w:r>
            <w:r w:rsidRPr="00AA0784">
              <w:t>Transportu</w:t>
            </w:r>
            <w:r w:rsidRPr="00AA0784">
              <w:rPr>
                <w:lang w:val="uk-UA"/>
              </w:rPr>
              <w:t xml:space="preserve"> </w:t>
            </w:r>
            <w:r w:rsidRPr="00AA0784">
              <w:t>Miejskiego</w:t>
            </w:r>
            <w:r w:rsidRPr="00AA0784">
              <w:rPr>
                <w:lang w:val="uk-UA"/>
              </w:rPr>
              <w:t xml:space="preserve"> </w:t>
            </w:r>
            <w:r w:rsidRPr="00AA0784">
              <w:t>w</w:t>
            </w:r>
            <w:r w:rsidRPr="00AA0784">
              <w:rPr>
                <w:lang w:val="uk-UA"/>
              </w:rPr>
              <w:t xml:space="preserve"> </w:t>
            </w:r>
            <w:r w:rsidRPr="00AA0784">
              <w:t>Lublinie</w:t>
            </w:r>
            <w:r w:rsidRPr="00AA0784">
              <w:rPr>
                <w:lang w:val="uk-UA"/>
              </w:rPr>
              <w:t xml:space="preserve">) (далі - «УМТ м. Люблін»), вул. </w:t>
            </w:r>
            <w:r w:rsidRPr="00AA0784">
              <w:t xml:space="preserve">Krochmalna 13j, 20-401 Lublin, </w:t>
            </w:r>
            <w:proofErr w:type="spellStart"/>
            <w:r w:rsidRPr="00AA0784">
              <w:t>тел</w:t>
            </w:r>
            <w:proofErr w:type="spellEnd"/>
            <w:r w:rsidRPr="00AA0784">
              <w:t>. 81 466-29-00, e-mail: zdtm@zdtm.lublin.eu</w:t>
            </w:r>
          </w:p>
        </w:tc>
      </w:tr>
      <w:tr w:rsidR="00FF1A86" w:rsidRPr="00AA0784" w14:paraId="5BF6E595" w14:textId="77777777">
        <w:tc>
          <w:tcPr>
            <w:tcW w:w="2395" w:type="dxa"/>
            <w:shd w:val="clear" w:color="auto" w:fill="C2D69B" w:themeFill="accent3" w:themeFillTint="99"/>
          </w:tcPr>
          <w:p w14:paraId="7A2A6540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 xml:space="preserve">КОНТАКТНІ ДАНІ ІНСПЕКТОРА ІЗ ЗАХИСТУ ДАНИХ </w:t>
            </w:r>
          </w:p>
        </w:tc>
        <w:tc>
          <w:tcPr>
            <w:tcW w:w="6836" w:type="dxa"/>
            <w:shd w:val="clear" w:color="auto" w:fill="FFFFFF" w:themeFill="background1"/>
          </w:tcPr>
          <w:p w14:paraId="477B3040" w14:textId="6F0E8661" w:rsidR="00FF1A86" w:rsidRPr="003A0A35" w:rsidRDefault="00000000">
            <w:pPr>
              <w:jc w:val="both"/>
              <w:rPr>
                <w:sz w:val="28"/>
                <w:lang w:val="uk-UA"/>
              </w:rPr>
            </w:pPr>
            <w:r w:rsidRPr="003A0A35">
              <w:rPr>
                <w:sz w:val="28"/>
                <w:lang w:val="uk-UA"/>
              </w:rPr>
              <w:t>Ми призначили Інспектора із захисту даних, з яким мож</w:t>
            </w:r>
            <w:r w:rsidR="003A0A35">
              <w:rPr>
                <w:sz w:val="28"/>
                <w:lang w:val="uk-UA"/>
              </w:rPr>
              <w:t>на</w:t>
            </w:r>
            <w:r w:rsidRPr="003A0A35">
              <w:rPr>
                <w:sz w:val="28"/>
                <w:lang w:val="uk-UA"/>
              </w:rPr>
              <w:t xml:space="preserve"> зв'язатися з питань захисту Ваших персональних даних за адресою електронної пошти </w:t>
            </w:r>
            <w:hyperlink r:id="rId4" w:history="1">
              <w:r w:rsidR="001E70B9" w:rsidRPr="003B2BC0">
                <w:rPr>
                  <w:rStyle w:val="Hipercze"/>
                  <w:sz w:val="28"/>
                  <w:lang w:val="uk-UA"/>
                </w:rPr>
                <w:t>odo@z</w:t>
              </w:r>
              <w:r w:rsidR="001E70B9" w:rsidRPr="003B2BC0">
                <w:rPr>
                  <w:rStyle w:val="Hipercze"/>
                  <w:sz w:val="28"/>
                </w:rPr>
                <w:t>d</w:t>
              </w:r>
              <w:r w:rsidR="001E70B9" w:rsidRPr="003B2BC0">
                <w:rPr>
                  <w:rStyle w:val="Hipercze"/>
                  <w:sz w:val="28"/>
                  <w:lang w:val="uk-UA"/>
                </w:rPr>
                <w:t>tm.lublin.eu</w:t>
              </w:r>
            </w:hyperlink>
            <w:r w:rsidRPr="003A0A35">
              <w:rPr>
                <w:sz w:val="28"/>
                <w:lang w:val="uk-UA"/>
              </w:rPr>
              <w:t xml:space="preserve"> або в письмовому вигляді за адресою адміністратора даних.</w:t>
            </w:r>
          </w:p>
        </w:tc>
      </w:tr>
      <w:tr w:rsidR="00FF1A86" w:rsidRPr="00AA0784" w14:paraId="61B16537" w14:textId="77777777">
        <w:tc>
          <w:tcPr>
            <w:tcW w:w="2395" w:type="dxa"/>
            <w:shd w:val="clear" w:color="auto" w:fill="C2D69B" w:themeFill="accent3" w:themeFillTint="99"/>
          </w:tcPr>
          <w:p w14:paraId="29D27945" w14:textId="464E2380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МЕТА ОБРОБКИ</w:t>
            </w:r>
            <w:r w:rsidRPr="003A0A35">
              <w:rPr>
                <w:lang w:val="uk-UA"/>
              </w:rPr>
              <w:br/>
              <w:t>ТА ПРАВОВА ОСНОВА</w:t>
            </w:r>
          </w:p>
        </w:tc>
        <w:tc>
          <w:tcPr>
            <w:tcW w:w="6836" w:type="dxa"/>
            <w:shd w:val="clear" w:color="auto" w:fill="FFFFFF" w:themeFill="background1"/>
          </w:tcPr>
          <w:p w14:paraId="0A831460" w14:textId="0F0D24C8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>Ваші дані будуть оброблятися УМТ м. Люблін з метою виконання обов'язків, пов'язани</w:t>
            </w:r>
            <w:r w:rsidR="006F21B5">
              <w:rPr>
                <w:lang w:val="uk-UA"/>
              </w:rPr>
              <w:t>х</w:t>
            </w:r>
            <w:r w:rsidRPr="003A0A35">
              <w:rPr>
                <w:lang w:val="uk-UA"/>
              </w:rPr>
              <w:t xml:space="preserve"> із захистом осіб та майна, що випливають з положень Закону від 8 березня 1990 р. «Про місцеве самоврядування» - відп. до ст. 6 абз. 1 літ. c GDPR, а також з метою можливого розслідування або захисту від претензій – з огляду на законний інтерес адміністратора (відп. до ст. 6 абз. 1 літ. f GDPR). </w:t>
            </w:r>
          </w:p>
        </w:tc>
      </w:tr>
      <w:tr w:rsidR="00FF1A86" w:rsidRPr="00AA0784" w14:paraId="5BA1BCE8" w14:textId="77777777">
        <w:tc>
          <w:tcPr>
            <w:tcW w:w="2395" w:type="dxa"/>
            <w:shd w:val="clear" w:color="auto" w:fill="C2D69B" w:themeFill="accent3" w:themeFillTint="99"/>
          </w:tcPr>
          <w:p w14:paraId="6D84CD9D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ТЕРИТОРІЯ, ОХОПЛЕНА ВІДЕОСПОСТЕРЕЖЕННЯМ</w:t>
            </w:r>
          </w:p>
        </w:tc>
        <w:tc>
          <w:tcPr>
            <w:tcW w:w="6836" w:type="dxa"/>
            <w:shd w:val="clear" w:color="auto" w:fill="FFFFFF" w:themeFill="background1"/>
          </w:tcPr>
          <w:p w14:paraId="1AD0E9B0" w14:textId="08C8232C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 xml:space="preserve">Моніторинг охоплює територію Люблінського автовокзалу за адресою: вул. Dworcowa 2 (далі </w:t>
            </w:r>
            <w:r w:rsidR="006F21B5">
              <w:rPr>
                <w:lang w:val="uk-UA"/>
              </w:rPr>
              <w:t>–</w:t>
            </w:r>
            <w:r w:rsidRPr="003A0A35">
              <w:rPr>
                <w:lang w:val="uk-UA"/>
              </w:rPr>
              <w:t xml:space="preserve"> Автовокзал), що включає: інтер'єр будівлі автовокзалу і територію навколо будівлі, маневровий майданчик зі стійками реєстрації, в'їзди і виїзди з автовокзалу, оглядовий майданчик на даху будівлі автовокзалу, а також зону стоянки P&amp;R під будівлею автовокзалу. Реєстрації та запису на носій підлягає виключно зображення (без звуку). </w:t>
            </w:r>
          </w:p>
        </w:tc>
      </w:tr>
      <w:tr w:rsidR="00FF1A86" w:rsidRPr="00AA0784" w14:paraId="35A971D6" w14:textId="77777777">
        <w:tc>
          <w:tcPr>
            <w:tcW w:w="2395" w:type="dxa"/>
            <w:shd w:val="clear" w:color="auto" w:fill="C2D69B" w:themeFill="accent3" w:themeFillTint="99"/>
          </w:tcPr>
          <w:p w14:paraId="66D9046B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ОДЕРЖУВАЧІ ДАНИХ</w:t>
            </w:r>
          </w:p>
        </w:tc>
        <w:tc>
          <w:tcPr>
            <w:tcW w:w="6836" w:type="dxa"/>
            <w:shd w:val="clear" w:color="auto" w:fill="FFFFFF" w:themeFill="background1"/>
          </w:tcPr>
          <w:p w14:paraId="2E8B6B8B" w14:textId="552C7AD1" w:rsidR="00FF1A86" w:rsidRPr="003A0A35" w:rsidRDefault="00000000">
            <w:pPr>
              <w:jc w:val="both"/>
              <w:rPr>
                <w:sz w:val="28"/>
                <w:lang w:val="uk-UA"/>
              </w:rPr>
            </w:pPr>
            <w:r w:rsidRPr="003A0A35">
              <w:rPr>
                <w:sz w:val="28"/>
                <w:lang w:val="uk-UA"/>
              </w:rPr>
              <w:t xml:space="preserve">Ваші персональні дані можуть бути передані виключно суб'єктам, які мають право на </w:t>
            </w:r>
            <w:r w:rsidRPr="003A0A35">
              <w:rPr>
                <w:sz w:val="28"/>
                <w:lang w:val="uk-UA"/>
              </w:rPr>
              <w:lastRenderedPageBreak/>
              <w:t xml:space="preserve">отримання персональних даних відповідно до законодавства, а також суб'єктам, з якими </w:t>
            </w:r>
            <w:r w:rsidRPr="003A0A35">
              <w:rPr>
                <w:sz w:val="28"/>
                <w:lang w:val="uk-UA"/>
              </w:rPr>
              <w:br/>
              <w:t>Адміністратор підписав договори щодо доручення обробки даних.</w:t>
            </w:r>
            <w:r w:rsidRPr="003A0A35">
              <w:rPr>
                <w:rFonts w:ascii="Arial Narrow" w:hAnsi="Arial Narrow"/>
                <w:lang w:val="uk-UA"/>
              </w:rPr>
              <w:t xml:space="preserve"> </w:t>
            </w:r>
            <w:r w:rsidRPr="003A0A35">
              <w:rPr>
                <w:sz w:val="28"/>
                <w:lang w:val="uk-UA"/>
              </w:rPr>
              <w:t>Кожне збереження подій, зафіксованих за допомогою</w:t>
            </w:r>
            <w:r w:rsidR="006F21B5">
              <w:rPr>
                <w:sz w:val="28"/>
                <w:lang w:val="uk-UA"/>
              </w:rPr>
              <w:t xml:space="preserve"> </w:t>
            </w:r>
            <w:r w:rsidRPr="003A0A35">
              <w:rPr>
                <w:sz w:val="28"/>
                <w:lang w:val="uk-UA"/>
              </w:rPr>
              <w:t>відеоспостереження,</w:t>
            </w:r>
            <w:r w:rsidR="006F21B5">
              <w:rPr>
                <w:sz w:val="28"/>
                <w:lang w:val="uk-UA"/>
              </w:rPr>
              <w:t xml:space="preserve"> </w:t>
            </w:r>
            <w:r w:rsidRPr="003A0A35">
              <w:rPr>
                <w:sz w:val="28"/>
                <w:lang w:val="uk-UA"/>
              </w:rPr>
              <w:t>здійснюється за</w:t>
            </w:r>
            <w:r w:rsidR="006F21B5">
              <w:rPr>
                <w:sz w:val="28"/>
                <w:lang w:val="uk-UA"/>
              </w:rPr>
              <w:t xml:space="preserve"> </w:t>
            </w:r>
            <w:r w:rsidRPr="003A0A35">
              <w:rPr>
                <w:sz w:val="28"/>
                <w:lang w:val="uk-UA"/>
              </w:rPr>
              <w:t>письмовим запитом, поданим Адміністратору. Збережені дані відеоспостереження надаються виключно органам, які здійснюють провадження щодо зареєстрованої події</w:t>
            </w:r>
            <w:r w:rsidR="006F21B5">
              <w:rPr>
                <w:sz w:val="28"/>
                <w:lang w:val="uk-UA"/>
              </w:rPr>
              <w:t xml:space="preserve"> (</w:t>
            </w:r>
            <w:r w:rsidRPr="003A0A35">
              <w:rPr>
                <w:sz w:val="28"/>
                <w:lang w:val="uk-UA"/>
              </w:rPr>
              <w:t>наприклад, поліції, прокуратурі, судам</w:t>
            </w:r>
            <w:r w:rsidR="006F21B5">
              <w:rPr>
                <w:sz w:val="28"/>
                <w:lang w:val="uk-UA"/>
              </w:rPr>
              <w:t>)</w:t>
            </w:r>
            <w:r w:rsidRPr="003A0A35">
              <w:rPr>
                <w:sz w:val="28"/>
                <w:lang w:val="uk-UA"/>
              </w:rPr>
              <w:t>, які діють на підставі окремих нормативних актів.</w:t>
            </w:r>
          </w:p>
        </w:tc>
      </w:tr>
      <w:tr w:rsidR="00FF1A86" w:rsidRPr="00AA0784" w14:paraId="0CC98B7E" w14:textId="77777777">
        <w:tc>
          <w:tcPr>
            <w:tcW w:w="2395" w:type="dxa"/>
            <w:shd w:val="clear" w:color="auto" w:fill="C2D69B" w:themeFill="accent3" w:themeFillTint="99"/>
          </w:tcPr>
          <w:p w14:paraId="4080FD60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lastRenderedPageBreak/>
              <w:t>ПЕРІОД ЗБЕРІГАННЯ ДАНИХ</w:t>
            </w:r>
          </w:p>
        </w:tc>
        <w:tc>
          <w:tcPr>
            <w:tcW w:w="6836" w:type="dxa"/>
            <w:shd w:val="clear" w:color="auto" w:fill="FFFFFF" w:themeFill="background1"/>
          </w:tcPr>
          <w:p w14:paraId="246333DE" w14:textId="33C1AD3F" w:rsidR="00FF1A86" w:rsidRPr="003A0A35" w:rsidRDefault="00000000">
            <w:pPr>
              <w:jc w:val="both"/>
              <w:rPr>
                <w:sz w:val="28"/>
                <w:lang w:val="uk-UA"/>
              </w:rPr>
            </w:pPr>
            <w:r w:rsidRPr="003A0A35">
              <w:rPr>
                <w:sz w:val="28"/>
                <w:lang w:val="uk-UA"/>
              </w:rPr>
              <w:t>Ваші персональні дані будуть зберігатися протягом періоду до 30 днів з моменту запису зображення системою відеоспостереження</w:t>
            </w:r>
            <w:r w:rsidRPr="003A0A35">
              <w:rPr>
                <w:lang w:val="uk-UA"/>
              </w:rPr>
              <w:t xml:space="preserve"> (</w:t>
            </w:r>
            <w:r w:rsidRPr="003A0A35">
              <w:rPr>
                <w:sz w:val="28"/>
                <w:lang w:val="uk-UA"/>
              </w:rPr>
              <w:t>час зберігання залежить від кількості подій, після того, як на диску закінчиться місце, дані будуть автоматично перезаписані), а в разі, якщо відеозаписи можуть бути використані як доказ у провадженні, що ведеться відповідно положень законодавства, дані будуть оброблятися до остаточного рішення у процесі, яке набуде законної сили.</w:t>
            </w:r>
          </w:p>
        </w:tc>
      </w:tr>
      <w:tr w:rsidR="00FF1A86" w:rsidRPr="00AA0784" w14:paraId="5CA5C7B5" w14:textId="77777777">
        <w:tc>
          <w:tcPr>
            <w:tcW w:w="2395" w:type="dxa"/>
            <w:shd w:val="clear" w:color="auto" w:fill="C2D69B" w:themeFill="accent3" w:themeFillTint="99"/>
          </w:tcPr>
          <w:p w14:paraId="2AF90AF6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ПЕРЕДАЧА ДАНИХ ТРЕТІМ КРАЇНАМ</w:t>
            </w:r>
          </w:p>
        </w:tc>
        <w:tc>
          <w:tcPr>
            <w:tcW w:w="6836" w:type="dxa"/>
            <w:shd w:val="clear" w:color="auto" w:fill="FFFFFF" w:themeFill="background1"/>
          </w:tcPr>
          <w:p w14:paraId="68FD68AE" w14:textId="28202287" w:rsidR="00FF1A86" w:rsidRPr="003A0A35" w:rsidRDefault="00000000" w:rsidP="005259C3">
            <w:pPr>
              <w:pStyle w:val="P68B1DB1-Akapitzlist3"/>
              <w:ind w:left="0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>Ваші дані не передаватимуться за межі Європейської економічної зони (яка охоплює Європейський Союз, Норвегію, Ліхтенштейн, Великобританію та Ісландію).</w:t>
            </w:r>
          </w:p>
        </w:tc>
      </w:tr>
      <w:tr w:rsidR="00FF1A86" w:rsidRPr="00AA0784" w14:paraId="4206D432" w14:textId="77777777">
        <w:tc>
          <w:tcPr>
            <w:tcW w:w="2395" w:type="dxa"/>
            <w:shd w:val="clear" w:color="auto" w:fill="C2D69B" w:themeFill="accent3" w:themeFillTint="99"/>
          </w:tcPr>
          <w:p w14:paraId="5EEB4531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АВТОМАТИЗОВАНЕ ПРИЙНЯТТЯ РІШЕНЬ</w:t>
            </w:r>
          </w:p>
        </w:tc>
        <w:tc>
          <w:tcPr>
            <w:tcW w:w="6836" w:type="dxa"/>
            <w:shd w:val="clear" w:color="auto" w:fill="FFFFFF" w:themeFill="background1"/>
          </w:tcPr>
          <w:p w14:paraId="25CCEF58" w14:textId="73D96A4F" w:rsidR="00FF1A86" w:rsidRPr="003A0A35" w:rsidRDefault="00000000" w:rsidP="005259C3">
            <w:pPr>
              <w:pStyle w:val="P68B1DB1-Akapitzlist3"/>
              <w:ind w:left="0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>Ваші дані можуть оброблятися автоматично, але не будуть профільовані.</w:t>
            </w:r>
          </w:p>
        </w:tc>
      </w:tr>
      <w:tr w:rsidR="00FF1A86" w:rsidRPr="00AA0784" w14:paraId="24E6FEAE" w14:textId="77777777">
        <w:tc>
          <w:tcPr>
            <w:tcW w:w="2395" w:type="dxa"/>
            <w:shd w:val="clear" w:color="auto" w:fill="C2D69B" w:themeFill="accent3" w:themeFillTint="99"/>
          </w:tcPr>
          <w:p w14:paraId="1B0748C0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ПРАВА СУБ'ЄКТІВ ДАНИХ</w:t>
            </w:r>
          </w:p>
        </w:tc>
        <w:tc>
          <w:tcPr>
            <w:tcW w:w="6836" w:type="dxa"/>
            <w:shd w:val="clear" w:color="auto" w:fill="FFFFFF" w:themeFill="background1"/>
          </w:tcPr>
          <w:p w14:paraId="017EA547" w14:textId="30403B11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 xml:space="preserve">Відповідно до GDPR, </w:t>
            </w:r>
            <w:r w:rsidR="005259C3">
              <w:rPr>
                <w:lang w:val="uk-UA"/>
              </w:rPr>
              <w:t>В</w:t>
            </w:r>
            <w:r w:rsidRPr="003A0A35">
              <w:rPr>
                <w:lang w:val="uk-UA"/>
              </w:rPr>
              <w:t>и маєте право вимагати від адміністратора:</w:t>
            </w:r>
          </w:p>
          <w:p w14:paraId="729738C1" w14:textId="77777777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 xml:space="preserve">- обмеження обробки, </w:t>
            </w:r>
          </w:p>
          <w:p w14:paraId="2E694B83" w14:textId="77777777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 xml:space="preserve">- доступ до своїх даних, </w:t>
            </w:r>
          </w:p>
          <w:p w14:paraId="1882A84D" w14:textId="77777777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>- видалення своїх даних,</w:t>
            </w:r>
          </w:p>
          <w:p w14:paraId="677F3EED" w14:textId="77777777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>- заперечення проти обробки,</w:t>
            </w:r>
          </w:p>
          <w:p w14:paraId="179E09B4" w14:textId="77777777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 xml:space="preserve"> якщо таке право виявиться обґрунтованим.</w:t>
            </w:r>
          </w:p>
        </w:tc>
      </w:tr>
      <w:tr w:rsidR="00FF1A86" w:rsidRPr="00AA0784" w14:paraId="7198F79B" w14:textId="77777777">
        <w:tc>
          <w:tcPr>
            <w:tcW w:w="2395" w:type="dxa"/>
            <w:shd w:val="clear" w:color="auto" w:fill="C2D69B" w:themeFill="accent3" w:themeFillTint="99"/>
          </w:tcPr>
          <w:p w14:paraId="4CC52D35" w14:textId="77777777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t>ПРАВО ПОДАТИ СКАРГУ ДО НАГЛЯДОВОГО ОРГАНУ</w:t>
            </w:r>
          </w:p>
        </w:tc>
        <w:tc>
          <w:tcPr>
            <w:tcW w:w="6836" w:type="dxa"/>
            <w:shd w:val="clear" w:color="auto" w:fill="FFFFFF" w:themeFill="background1"/>
          </w:tcPr>
          <w:p w14:paraId="4364157B" w14:textId="77777777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 xml:space="preserve">Ви маєте право подати скаргу до наглядового органу, якщо, на Вашу думку, обробка Ваших персональних даних порушує положення </w:t>
            </w:r>
            <w:r w:rsidRPr="003A0A35">
              <w:rPr>
                <w:lang w:val="uk-UA"/>
              </w:rPr>
              <w:lastRenderedPageBreak/>
              <w:t>GDPR. Наглядовим органом є Голова Управління із захисту персональних даних (Prezes Urzędu Ochrony Danych Osobowych).</w:t>
            </w:r>
          </w:p>
        </w:tc>
      </w:tr>
      <w:tr w:rsidR="00FF1A86" w:rsidRPr="00AA0784" w14:paraId="321D2114" w14:textId="77777777">
        <w:tc>
          <w:tcPr>
            <w:tcW w:w="2395" w:type="dxa"/>
            <w:shd w:val="clear" w:color="auto" w:fill="C2D69B" w:themeFill="accent3" w:themeFillTint="99"/>
          </w:tcPr>
          <w:p w14:paraId="145FF30B" w14:textId="137B2D18" w:rsidR="00FF1A86" w:rsidRPr="003A0A35" w:rsidRDefault="00000000">
            <w:pPr>
              <w:pStyle w:val="P68B1DB1-Normalny1"/>
              <w:rPr>
                <w:lang w:val="uk-UA"/>
              </w:rPr>
            </w:pPr>
            <w:r w:rsidRPr="003A0A35">
              <w:rPr>
                <w:lang w:val="uk-UA"/>
              </w:rPr>
              <w:lastRenderedPageBreak/>
              <w:t>ІНФОРМАЦІЯ ПРО СВОБОДУ АБО ОБОВ</w:t>
            </w:r>
            <w:r w:rsidR="00481F42">
              <w:rPr>
                <w:lang w:val="uk-UA"/>
              </w:rPr>
              <w:t>’</w:t>
            </w:r>
            <w:r w:rsidRPr="003A0A35">
              <w:rPr>
                <w:lang w:val="uk-UA"/>
              </w:rPr>
              <w:t>ЯЗОК НАДАННЯ ДАНИХ</w:t>
            </w:r>
          </w:p>
        </w:tc>
        <w:tc>
          <w:tcPr>
            <w:tcW w:w="6836" w:type="dxa"/>
            <w:shd w:val="clear" w:color="auto" w:fill="FFFFFF" w:themeFill="background1"/>
          </w:tcPr>
          <w:p w14:paraId="3FFB98AE" w14:textId="77777777" w:rsidR="00FF1A86" w:rsidRPr="003A0A35" w:rsidRDefault="00000000">
            <w:pPr>
              <w:pStyle w:val="P68B1DB1-Normalny2"/>
              <w:jc w:val="both"/>
              <w:rPr>
                <w:lang w:val="uk-UA"/>
              </w:rPr>
            </w:pPr>
            <w:r w:rsidRPr="003A0A35">
              <w:rPr>
                <w:lang w:val="uk-UA"/>
              </w:rPr>
              <w:t>Надання персональних даних у вигляді зображення є добровільним, але необхідним для входу на територію, що охоплюється моніторингом. Відсутність готовності надавати дані призводить до того, що вхід на територію автовокзалу стає неможливим.</w:t>
            </w:r>
          </w:p>
        </w:tc>
      </w:tr>
    </w:tbl>
    <w:p w14:paraId="228ADC40" w14:textId="77777777" w:rsidR="00FF1A86" w:rsidRPr="003A0A35" w:rsidRDefault="00FF1A86">
      <w:pPr>
        <w:rPr>
          <w:lang w:val="uk-UA"/>
        </w:rPr>
      </w:pPr>
    </w:p>
    <w:sectPr w:rsidR="00FF1A86" w:rsidRPr="003A0A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19"/>
    <w:rsid w:val="00032B89"/>
    <w:rsid w:val="00057125"/>
    <w:rsid w:val="000A755B"/>
    <w:rsid w:val="00100179"/>
    <w:rsid w:val="00154041"/>
    <w:rsid w:val="00184E5A"/>
    <w:rsid w:val="001C78CC"/>
    <w:rsid w:val="001E70B9"/>
    <w:rsid w:val="002F522D"/>
    <w:rsid w:val="00313C78"/>
    <w:rsid w:val="00381AAF"/>
    <w:rsid w:val="00386F20"/>
    <w:rsid w:val="003A0A35"/>
    <w:rsid w:val="003F5B27"/>
    <w:rsid w:val="0043424C"/>
    <w:rsid w:val="00481F42"/>
    <w:rsid w:val="00524860"/>
    <w:rsid w:val="005259C3"/>
    <w:rsid w:val="005B49E9"/>
    <w:rsid w:val="005D392D"/>
    <w:rsid w:val="005D3C8B"/>
    <w:rsid w:val="006064BB"/>
    <w:rsid w:val="00612AF0"/>
    <w:rsid w:val="00640502"/>
    <w:rsid w:val="006B431E"/>
    <w:rsid w:val="006F21B5"/>
    <w:rsid w:val="006F3246"/>
    <w:rsid w:val="007477A5"/>
    <w:rsid w:val="007B4A13"/>
    <w:rsid w:val="007C6BA4"/>
    <w:rsid w:val="007D7166"/>
    <w:rsid w:val="00811F8B"/>
    <w:rsid w:val="0088352F"/>
    <w:rsid w:val="008B2AA8"/>
    <w:rsid w:val="008C7756"/>
    <w:rsid w:val="008F1D3E"/>
    <w:rsid w:val="009E6A68"/>
    <w:rsid w:val="00A86FD5"/>
    <w:rsid w:val="00AA0784"/>
    <w:rsid w:val="00AE06AA"/>
    <w:rsid w:val="00B0429B"/>
    <w:rsid w:val="00B52B00"/>
    <w:rsid w:val="00B545A7"/>
    <w:rsid w:val="00B72DC2"/>
    <w:rsid w:val="00B75CEA"/>
    <w:rsid w:val="00B97E1B"/>
    <w:rsid w:val="00BA391D"/>
    <w:rsid w:val="00BB7528"/>
    <w:rsid w:val="00BC0D19"/>
    <w:rsid w:val="00C4530F"/>
    <w:rsid w:val="00D254FA"/>
    <w:rsid w:val="00E05114"/>
    <w:rsid w:val="00E12D9E"/>
    <w:rsid w:val="00FD11CA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F400"/>
  <w15:docId w15:val="{C6B426AB-B878-46EE-AB17-495A49E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D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C0D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5B27"/>
    <w:pPr>
      <w:ind w:left="720"/>
      <w:contextualSpacing/>
    </w:pPr>
  </w:style>
  <w:style w:type="paragraph" w:customStyle="1" w:styleId="P68B1DB1-Normalny1">
    <w:name w:val="P68B1DB1-Normalny1"/>
    <w:basedOn w:val="Normalny"/>
    <w:rPr>
      <w:b/>
      <w:sz w:val="28"/>
    </w:rPr>
  </w:style>
  <w:style w:type="paragraph" w:customStyle="1" w:styleId="P68B1DB1-Normalny2">
    <w:name w:val="P68B1DB1-Normalny2"/>
    <w:basedOn w:val="Normalny"/>
    <w:rPr>
      <w:sz w:val="28"/>
    </w:rPr>
  </w:style>
  <w:style w:type="paragraph" w:customStyle="1" w:styleId="P68B1DB1-Akapitzlist3">
    <w:name w:val="P68B1DB1-Akapitzlist3"/>
    <w:basedOn w:val="Akapitzlist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zdtm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Poniedziałek</cp:lastModifiedBy>
  <cp:revision>4</cp:revision>
  <cp:lastPrinted>2021-04-20T10:41:00Z</cp:lastPrinted>
  <dcterms:created xsi:type="dcterms:W3CDTF">2025-05-05T09:20:00Z</dcterms:created>
  <dcterms:modified xsi:type="dcterms:W3CDTF">2025-05-19T07:28:00Z</dcterms:modified>
</cp:coreProperties>
</file>